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color w:val="1A2E4A"/>
          <w:sz w:val="44"/>
          <w:szCs w:val="44"/>
        </w:rPr>
        <w:t xml:space="preserve">DPDPA Compliance Roadmap</w:t>
      </w:r>
    </w:p>
    <w:p>
      <w:pPr>
        <w:spacing w:after="60"/>
        <w:jc w:val="center"/>
      </w:pPr>
      <w:r>
        <w:rPr>
          <w:rFonts w:ascii="Calibri" w:cs="Calibri" w:eastAsia="Calibri" w:hAnsi="Calibri"/>
          <w:color w:val="555555"/>
          <w:sz w:val="24"/>
          <w:szCs w:val="24"/>
        </w:rPr>
        <w:t xml:space="preserve">Implementation Template — Digital Personal Data Protection Act, 2023</w:t>
      </w:r>
    </w:p>
    <w:p>
      <w:pPr>
        <w:pBdr>
          <w:bottom w:val="single" w:color="1A2E4A" w:sz="12"/>
        </w:pBdr>
        <w:spacing w:after="200"/>
      </w:pPr>
      <w:r>
        <w:rPr>
          <w:sz w:val="2"/>
          <w:szCs w:val="2"/>
        </w:rPr>
        <w:t xml:space="preserve"> </w:t>
      </w:r>
    </w:p>
    <w:p>
      <w:pPr>
        <w:pStyle w:val="Heading1"/>
        <w:spacing w:after="120" w:before="320"/>
      </w:pPr>
      <w:r>
        <w:rPr>
          <w:rFonts w:ascii="Calibri" w:cs="Calibri" w:eastAsia="Calibri" w:hAnsi="Calibri"/>
          <w:b/>
          <w:bCs/>
          <w:color w:val="1A2E4A"/>
          <w:sz w:val="27"/>
          <w:szCs w:val="27"/>
        </w:rPr>
        <w:t xml:space="preserve">Programme details</w:t>
      </w:r>
    </w:p>
    <w:p>
      <w:pPr>
        <w:spacing w:after="90"/>
      </w:pPr>
      <w:r>
        <w:rPr>
          <w:rFonts w:ascii="Calibri" w:cs="Calibri" w:eastAsia="Calibri" w:hAnsi="Calibri"/>
          <w:color w:val="333333"/>
          <w:sz w:val="21"/>
          <w:szCs w:val="21"/>
        </w:rPr>
        <w:t xml:space="preserve">Organisation name: ______________________________</w:t>
      </w:r>
    </w:p>
    <w:p>
      <w:pPr>
        <w:spacing w:after="90"/>
      </w:pPr>
      <w:r>
        <w:rPr>
          <w:rFonts w:ascii="Calibri" w:cs="Calibri" w:eastAsia="Calibri" w:hAnsi="Calibri"/>
          <w:color w:val="333333"/>
          <w:sz w:val="21"/>
          <w:szCs w:val="21"/>
        </w:rPr>
        <w:t xml:space="preserve">Programme owner / DPDPA lead: ______________________________</w:t>
      </w:r>
    </w:p>
    <w:p>
      <w:pPr>
        <w:spacing w:after="90"/>
      </w:pPr>
      <w:r>
        <w:rPr>
          <w:rFonts w:ascii="Calibri" w:cs="Calibri" w:eastAsia="Calibri" w:hAnsi="Calibri"/>
          <w:color w:val="333333"/>
          <w:sz w:val="21"/>
          <w:szCs w:val="21"/>
        </w:rPr>
        <w:t xml:space="preserve">Executive sponsor: ______________________________</w:t>
      </w:r>
    </w:p>
    <w:p>
      <w:pPr>
        <w:spacing w:after="90"/>
      </w:pPr>
      <w:r>
        <w:rPr>
          <w:rFonts w:ascii="Calibri" w:cs="Calibri" w:eastAsia="Calibri" w:hAnsi="Calibri"/>
          <w:color w:val="333333"/>
          <w:sz w:val="21"/>
          <w:szCs w:val="21"/>
        </w:rPr>
        <w:t xml:space="preserve">Roadmap start date: ______________  Target completion: ______________</w:t>
      </w:r>
    </w:p>
    <w:p>
      <w:pPr>
        <w:spacing w:after="90"/>
      </w:pPr>
      <w:r>
        <w:rPr>
          <w:rFonts w:ascii="Calibri" w:cs="Calibri" w:eastAsia="Calibri" w:hAnsi="Calibri"/>
          <w:color w:val="333333"/>
          <w:sz w:val="21"/>
          <w:szCs w:val="21"/>
        </w:rPr>
        <w:t xml:space="preserve">Significant Data Fiduciary status: ☐ Yes   ☐ No   ☐ Under assessment</w:t>
      </w:r>
    </w:p>
    <w:p>
      <w:pPr>
        <w:pStyle w:val="Heading1"/>
        <w:spacing w:after="120" w:before="320"/>
      </w:pPr>
      <w:r>
        <w:rPr>
          <w:rFonts w:ascii="Calibri" w:cs="Calibri" w:eastAsia="Calibri" w:hAnsi="Calibri"/>
          <w:b/>
          <w:bCs/>
          <w:color w:val="1A2E4A"/>
          <w:sz w:val="27"/>
          <w:szCs w:val="27"/>
        </w:rPr>
        <w:t xml:space="preserve">How to use this template</w:t>
      </w:r>
    </w:p>
    <w:p>
      <w:pPr>
        <w:pStyle w:val="ListParagraph"/>
        <w:numPr>
          <w:ilvl w:val="0"/>
          <w:numId w:val="2"/>
        </w:numPr>
        <w:spacing w:after="60"/>
      </w:pPr>
      <w:r>
        <w:rPr>
          <w:rFonts w:ascii="Calibri" w:cs="Calibri" w:eastAsia="Calibri" w:hAnsi="Calibri"/>
          <w:color w:val="333333"/>
          <w:sz w:val="21"/>
          <w:szCs w:val="21"/>
        </w:rPr>
        <w:t xml:space="preserve">Assign an Owner and Target date to every task, then update Status as you progress (Not started / In progress / Done / Blocked).</w:t>
      </w:r>
    </w:p>
    <w:p>
      <w:pPr>
        <w:pStyle w:val="ListParagraph"/>
        <w:numPr>
          <w:ilvl w:val="0"/>
          <w:numId w:val="2"/>
        </w:numPr>
        <w:spacing w:after="60"/>
      </w:pPr>
      <w:r>
        <w:rPr>
          <w:rFonts w:ascii="Calibri" w:cs="Calibri" w:eastAsia="Calibri" w:hAnsi="Calibri"/>
          <w:color w:val="333333"/>
          <w:sz w:val="21"/>
          <w:szCs w:val="21"/>
        </w:rPr>
        <w:t xml:space="preserve">Timelines shown are indicative for a mid-sized organisation — compress or extend them to fit your size and risk profile.</w:t>
      </w:r>
    </w:p>
    <w:p>
      <w:pPr>
        <w:pStyle w:val="ListParagraph"/>
        <w:numPr>
          <w:ilvl w:val="0"/>
          <w:numId w:val="2"/>
        </w:numPr>
        <w:spacing w:after="60"/>
      </w:pPr>
      <w:r>
        <w:rPr>
          <w:rFonts w:ascii="Calibri" w:cs="Calibri" w:eastAsia="Calibri" w:hAnsi="Calibri"/>
          <w:color w:val="333333"/>
          <w:sz w:val="21"/>
          <w:szCs w:val="21"/>
        </w:rPr>
        <w:t xml:space="preserve">Phases overlap deliberately; you do not need to finish one before starting the next.</w:t>
      </w:r>
    </w:p>
    <w:p>
      <w:pPr>
        <w:pStyle w:val="ListParagraph"/>
        <w:numPr>
          <w:ilvl w:val="0"/>
          <w:numId w:val="2"/>
        </w:numPr>
        <w:spacing w:after="60"/>
      </w:pPr>
      <w:r>
        <w:rPr>
          <w:rFonts w:ascii="Calibri" w:cs="Calibri" w:eastAsia="Calibri" w:hAnsi="Calibri"/>
          <w:color w:val="333333"/>
          <w:sz w:val="21"/>
          <w:szCs w:val="21"/>
        </w:rPr>
        <w:t xml:space="preserve">Mark tasks “N/A” where an obligation does not apply (e.g., SDF duties if you are not notified as one).</w:t>
      </w:r>
    </w:p>
    <w:p>
      <w:pPr>
        <w:pStyle w:val="Heading1"/>
        <w:spacing w:after="60" w:before="360"/>
      </w:pPr>
      <w:r>
        <w:rPr>
          <w:rFonts w:ascii="Calibri" w:cs="Calibri" w:eastAsia="Calibri" w:hAnsi="Calibri"/>
          <w:b/>
          <w:bCs/>
          <w:color w:val="1A2E4A"/>
          <w:sz w:val="26"/>
          <w:szCs w:val="26"/>
        </w:rPr>
        <w:t xml:space="preserve">Phase 0 — Governance &amp; Kick-off</w:t>
      </w:r>
      <w:r>
        <w:rPr>
          <w:rFonts w:ascii="Calibri" w:cs="Calibri" w:eastAsia="Calibri" w:hAnsi="Calibri"/>
          <w:b/>
          <w:bCs/>
          <w:color w:val="C0392B"/>
          <w:sz w:val="21"/>
          <w:szCs w:val="21"/>
        </w:rPr>
        <w:t xml:space="preserve">   Weeks 1–4</w:t>
      </w:r>
    </w:p>
    <w:p>
      <w:pPr>
        <w:spacing w:after="140"/>
      </w:pPr>
      <w:r>
        <w:rPr>
          <w:rFonts w:ascii="Calibri" w:cs="Calibri" w:eastAsia="Calibri" w:hAnsi="Calibri"/>
          <w:b/>
          <w:bCs/>
          <w:i/>
          <w:iCs/>
          <w:color w:val="555555"/>
          <w:sz w:val="20"/>
          <w:szCs w:val="20"/>
        </w:rPr>
        <w:t xml:space="preserve">Goal: </w:t>
      </w:r>
      <w:r>
        <w:rPr>
          <w:rFonts w:ascii="Calibri" w:cs="Calibri" w:eastAsia="Calibri" w:hAnsi="Calibri"/>
          <w:i/>
          <w:iCs/>
          <w:color w:val="555555"/>
          <w:sz w:val="20"/>
          <w:szCs w:val="20"/>
        </w:rPr>
        <w:t xml:space="preserve">Establish ownership, budget and executive sponsorship for the DPDPA programme.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00"/>
        <w:gridCol w:w="1350"/>
        <w:gridCol w:w="1350"/>
        <w:gridCol w:w="1200"/>
        <w:gridCol w:w="1326"/>
      </w:tblGrid>
      <w:tr>
        <w:trPr>
          <w:tblHeader/>
        </w:trPr>
        <w:tc>
          <w:tcPr>
            <w:tcW w:type="dxa" w:w="38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Task</w:t>
            </w:r>
          </w:p>
        </w:tc>
        <w:tc>
          <w:tcPr>
            <w:tcW w:type="dxa" w:w="135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Owner</w:t>
            </w:r>
          </w:p>
        </w:tc>
        <w:tc>
          <w:tcPr>
            <w:tcW w:type="dxa" w:w="135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Target date</w:t>
            </w:r>
          </w:p>
        </w:tc>
        <w:tc>
          <w:tcPr>
            <w:tcW w:type="dxa" w:w="12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Status</w:t>
            </w:r>
          </w:p>
        </w:tc>
        <w:tc>
          <w:tcPr>
            <w:tcW w:type="dxa" w:w="1326"/>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Notes</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Appoint a DPDPA programme lead / compliance owner</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Secure board or leadership sponsorship and approve budget</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Form a cross-functional working group (Legal, IT, Security, HR, Marketing, Product)</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Determine applicability: are we a Data Fiduciary, Data Processor, or both?</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Assess likelihood of Significant Data Fiduciary (SDF) notification and its trigger criteria</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Set up a compliance tracker and reporting cadence to leadership</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bl>
    <w:p>
      <w:pPr>
        <w:pStyle w:val="Heading1"/>
        <w:spacing w:after="60" w:before="360"/>
      </w:pPr>
      <w:r>
        <w:rPr>
          <w:rFonts w:ascii="Calibri" w:cs="Calibri" w:eastAsia="Calibri" w:hAnsi="Calibri"/>
          <w:b/>
          <w:bCs/>
          <w:color w:val="1A2E4A"/>
          <w:sz w:val="26"/>
          <w:szCs w:val="26"/>
        </w:rPr>
        <w:t xml:space="preserve">Phase 1 — Discovery &amp; Data Mapping</w:t>
      </w:r>
      <w:r>
        <w:rPr>
          <w:rFonts w:ascii="Calibri" w:cs="Calibri" w:eastAsia="Calibri" w:hAnsi="Calibri"/>
          <w:b/>
          <w:bCs/>
          <w:color w:val="C0392B"/>
          <w:sz w:val="21"/>
          <w:szCs w:val="21"/>
        </w:rPr>
        <w:t xml:space="preserve">   Weeks 3–8</w:t>
      </w:r>
    </w:p>
    <w:p>
      <w:pPr>
        <w:spacing w:after="140"/>
      </w:pPr>
      <w:r>
        <w:rPr>
          <w:rFonts w:ascii="Calibri" w:cs="Calibri" w:eastAsia="Calibri" w:hAnsi="Calibri"/>
          <w:b/>
          <w:bCs/>
          <w:i/>
          <w:iCs/>
          <w:color w:val="555555"/>
          <w:sz w:val="20"/>
          <w:szCs w:val="20"/>
        </w:rPr>
        <w:t xml:space="preserve">Goal: </w:t>
      </w:r>
      <w:r>
        <w:rPr>
          <w:rFonts w:ascii="Calibri" w:cs="Calibri" w:eastAsia="Calibri" w:hAnsi="Calibri"/>
          <w:i/>
          <w:iCs/>
          <w:color w:val="555555"/>
          <w:sz w:val="20"/>
          <w:szCs w:val="20"/>
        </w:rPr>
        <w:t xml:space="preserve">Know what personal data you hold, where it lives, and where it flows.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00"/>
        <w:gridCol w:w="1350"/>
        <w:gridCol w:w="1350"/>
        <w:gridCol w:w="1200"/>
        <w:gridCol w:w="1326"/>
      </w:tblGrid>
      <w:tr>
        <w:trPr>
          <w:tblHeader/>
        </w:trPr>
        <w:tc>
          <w:tcPr>
            <w:tcW w:type="dxa" w:w="38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Task</w:t>
            </w:r>
          </w:p>
        </w:tc>
        <w:tc>
          <w:tcPr>
            <w:tcW w:type="dxa" w:w="135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Owner</w:t>
            </w:r>
          </w:p>
        </w:tc>
        <w:tc>
          <w:tcPr>
            <w:tcW w:type="dxa" w:w="135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Target date</w:t>
            </w:r>
          </w:p>
        </w:tc>
        <w:tc>
          <w:tcPr>
            <w:tcW w:type="dxa" w:w="12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Status</w:t>
            </w:r>
          </w:p>
        </w:tc>
        <w:tc>
          <w:tcPr>
            <w:tcW w:type="dxa" w:w="1326"/>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Notes</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Inventory all personal data collected across websites, apps, CRM, HR and offline sources</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Map data flows: collection points, storage locations, internal access, third-party sharing</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Identify all Data Processors and vendors handling personal data</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Flag children’s data and data of persons with disabilities in the inventory</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Identify cross-border data transfers and destination countries</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Classify data by purpose of processing and current lawful basis (consent / legitimate use)</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bl>
    <w:p>
      <w:pPr>
        <w:pStyle w:val="Heading1"/>
        <w:spacing w:after="60" w:before="360"/>
      </w:pPr>
      <w:r>
        <w:rPr>
          <w:rFonts w:ascii="Calibri" w:cs="Calibri" w:eastAsia="Calibri" w:hAnsi="Calibri"/>
          <w:b/>
          <w:bCs/>
          <w:color w:val="1A2E4A"/>
          <w:sz w:val="26"/>
          <w:szCs w:val="26"/>
        </w:rPr>
        <w:t xml:space="preserve">Phase 2 — Gap Assessment</w:t>
      </w:r>
      <w:r>
        <w:rPr>
          <w:rFonts w:ascii="Calibri" w:cs="Calibri" w:eastAsia="Calibri" w:hAnsi="Calibri"/>
          <w:b/>
          <w:bCs/>
          <w:color w:val="C0392B"/>
          <w:sz w:val="21"/>
          <w:szCs w:val="21"/>
        </w:rPr>
        <w:t xml:space="preserve">   Weeks 8–12</w:t>
      </w:r>
    </w:p>
    <w:p>
      <w:pPr>
        <w:spacing w:after="140"/>
      </w:pPr>
      <w:r>
        <w:rPr>
          <w:rFonts w:ascii="Calibri" w:cs="Calibri" w:eastAsia="Calibri" w:hAnsi="Calibri"/>
          <w:b/>
          <w:bCs/>
          <w:i/>
          <w:iCs/>
          <w:color w:val="555555"/>
          <w:sz w:val="20"/>
          <w:szCs w:val="20"/>
        </w:rPr>
        <w:t xml:space="preserve">Goal: </w:t>
      </w:r>
      <w:r>
        <w:rPr>
          <w:rFonts w:ascii="Calibri" w:cs="Calibri" w:eastAsia="Calibri" w:hAnsi="Calibri"/>
          <w:i/>
          <w:iCs/>
          <w:color w:val="555555"/>
          <w:sz w:val="20"/>
          <w:szCs w:val="20"/>
        </w:rPr>
        <w:t xml:space="preserve">Measure current practices against every DPDPA obligation and prioritise fixes.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00"/>
        <w:gridCol w:w="1350"/>
        <w:gridCol w:w="1350"/>
        <w:gridCol w:w="1200"/>
        <w:gridCol w:w="1326"/>
      </w:tblGrid>
      <w:tr>
        <w:trPr>
          <w:tblHeader/>
        </w:trPr>
        <w:tc>
          <w:tcPr>
            <w:tcW w:type="dxa" w:w="38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Task</w:t>
            </w:r>
          </w:p>
        </w:tc>
        <w:tc>
          <w:tcPr>
            <w:tcW w:type="dxa" w:w="135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Owner</w:t>
            </w:r>
          </w:p>
        </w:tc>
        <w:tc>
          <w:tcPr>
            <w:tcW w:type="dxa" w:w="135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Target date</w:t>
            </w:r>
          </w:p>
        </w:tc>
        <w:tc>
          <w:tcPr>
            <w:tcW w:type="dxa" w:w="12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Status</w:t>
            </w:r>
          </w:p>
        </w:tc>
        <w:tc>
          <w:tcPr>
            <w:tcW w:type="dxa" w:w="1326"/>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Notes</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Assess existing notices and consent flows against Sections 5–7 requirements</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Review retention practices against purpose-limitation and erasure duties</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Evaluate security safeguards against “reasonable security” expectations under the DPDP Rules</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Review vendor/processor contracts for DPDPA-compliant clauses</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Assess readiness to honour Data Principal rights requests (access, correction, erasure, nomination)</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Document all gaps in a risk register, ranked by severity and effort</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bl>
    <w:p>
      <w:pPr>
        <w:pStyle w:val="Heading1"/>
        <w:spacing w:after="60" w:before="360"/>
      </w:pPr>
      <w:r>
        <w:rPr>
          <w:rFonts w:ascii="Calibri" w:cs="Calibri" w:eastAsia="Calibri" w:hAnsi="Calibri"/>
          <w:b/>
          <w:bCs/>
          <w:color w:val="1A2E4A"/>
          <w:sz w:val="26"/>
          <w:szCs w:val="26"/>
        </w:rPr>
        <w:t xml:space="preserve">Phase 3 — Notices, Consent &amp; Rights Remediation</w:t>
      </w:r>
      <w:r>
        <w:rPr>
          <w:rFonts w:ascii="Calibri" w:cs="Calibri" w:eastAsia="Calibri" w:hAnsi="Calibri"/>
          <w:b/>
          <w:bCs/>
          <w:color w:val="C0392B"/>
          <w:sz w:val="21"/>
          <w:szCs w:val="21"/>
        </w:rPr>
        <w:t xml:space="preserve">   Months 3–6</w:t>
      </w:r>
    </w:p>
    <w:p>
      <w:pPr>
        <w:spacing w:after="140"/>
      </w:pPr>
      <w:r>
        <w:rPr>
          <w:rFonts w:ascii="Calibri" w:cs="Calibri" w:eastAsia="Calibri" w:hAnsi="Calibri"/>
          <w:b/>
          <w:bCs/>
          <w:i/>
          <w:iCs/>
          <w:color w:val="555555"/>
          <w:sz w:val="20"/>
          <w:szCs w:val="20"/>
        </w:rPr>
        <w:t xml:space="preserve">Goal: </w:t>
      </w:r>
      <w:r>
        <w:rPr>
          <w:rFonts w:ascii="Calibri" w:cs="Calibri" w:eastAsia="Calibri" w:hAnsi="Calibri"/>
          <w:i/>
          <w:iCs/>
          <w:color w:val="555555"/>
          <w:sz w:val="20"/>
          <w:szCs w:val="20"/>
        </w:rPr>
        <w:t xml:space="preserve">Rebuild the consent lifecycle and Data Principal-facing processes.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00"/>
        <w:gridCol w:w="1350"/>
        <w:gridCol w:w="1350"/>
        <w:gridCol w:w="1200"/>
        <w:gridCol w:w="1326"/>
      </w:tblGrid>
      <w:tr>
        <w:trPr>
          <w:tblHeader/>
        </w:trPr>
        <w:tc>
          <w:tcPr>
            <w:tcW w:type="dxa" w:w="38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Task</w:t>
            </w:r>
          </w:p>
        </w:tc>
        <w:tc>
          <w:tcPr>
            <w:tcW w:type="dxa" w:w="135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Owner</w:t>
            </w:r>
          </w:p>
        </w:tc>
        <w:tc>
          <w:tcPr>
            <w:tcW w:type="dxa" w:w="135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Target date</w:t>
            </w:r>
          </w:p>
        </w:tc>
        <w:tc>
          <w:tcPr>
            <w:tcW w:type="dxa" w:w="12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Status</w:t>
            </w:r>
          </w:p>
        </w:tc>
        <w:tc>
          <w:tcPr>
            <w:tcW w:type="dxa" w:w="1326"/>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Notes</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Redraft privacy notices with itemised purposes, rights information and Board complaint route</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Enable notice access in English plus Eighth Schedule languages as required</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Implement affirmative, unbundled consent capture (no pre-ticked boxes)</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Build consent withdrawal that is as easy as giving consent</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Issue fresh notices for legacy data collected pre-DPDPA</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Stand up rights-request channels with identity verification and response SLAs</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Establish grievance redressal workflow with prescribed timelines</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Maintain auditable records of consents given and withdrawn</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bl>
    <w:p>
      <w:pPr>
        <w:pStyle w:val="Heading1"/>
        <w:spacing w:after="60" w:before="360"/>
      </w:pPr>
      <w:r>
        <w:rPr>
          <w:rFonts w:ascii="Calibri" w:cs="Calibri" w:eastAsia="Calibri" w:hAnsi="Calibri"/>
          <w:b/>
          <w:bCs/>
          <w:color w:val="1A2E4A"/>
          <w:sz w:val="26"/>
          <w:szCs w:val="26"/>
        </w:rPr>
        <w:t xml:space="preserve">Phase 4 — Security, Breach &amp; Vendor Management</w:t>
      </w:r>
      <w:r>
        <w:rPr>
          <w:rFonts w:ascii="Calibri" w:cs="Calibri" w:eastAsia="Calibri" w:hAnsi="Calibri"/>
          <w:b/>
          <w:bCs/>
          <w:color w:val="C0392B"/>
          <w:sz w:val="21"/>
          <w:szCs w:val="21"/>
        </w:rPr>
        <w:t xml:space="preserve">   Months 4–7</w:t>
      </w:r>
    </w:p>
    <w:p>
      <w:pPr>
        <w:spacing w:after="140"/>
      </w:pPr>
      <w:r>
        <w:rPr>
          <w:rFonts w:ascii="Calibri" w:cs="Calibri" w:eastAsia="Calibri" w:hAnsi="Calibri"/>
          <w:b/>
          <w:bCs/>
          <w:i/>
          <w:iCs/>
          <w:color w:val="555555"/>
          <w:sz w:val="20"/>
          <w:szCs w:val="20"/>
        </w:rPr>
        <w:t xml:space="preserve">Goal: </w:t>
      </w:r>
      <w:r>
        <w:rPr>
          <w:rFonts w:ascii="Calibri" w:cs="Calibri" w:eastAsia="Calibri" w:hAnsi="Calibri"/>
          <w:i/>
          <w:iCs/>
          <w:color w:val="555555"/>
          <w:sz w:val="20"/>
          <w:szCs w:val="20"/>
        </w:rPr>
        <w:t xml:space="preserve">Harden safeguards and be ready to respond to a personal data breach.</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00"/>
        <w:gridCol w:w="1350"/>
        <w:gridCol w:w="1350"/>
        <w:gridCol w:w="1200"/>
        <w:gridCol w:w="1326"/>
      </w:tblGrid>
      <w:tr>
        <w:trPr>
          <w:tblHeader/>
        </w:trPr>
        <w:tc>
          <w:tcPr>
            <w:tcW w:type="dxa" w:w="38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Task</w:t>
            </w:r>
          </w:p>
        </w:tc>
        <w:tc>
          <w:tcPr>
            <w:tcW w:type="dxa" w:w="135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Owner</w:t>
            </w:r>
          </w:p>
        </w:tc>
        <w:tc>
          <w:tcPr>
            <w:tcW w:type="dxa" w:w="135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Target date</w:t>
            </w:r>
          </w:p>
        </w:tc>
        <w:tc>
          <w:tcPr>
            <w:tcW w:type="dxa" w:w="12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Status</w:t>
            </w:r>
          </w:p>
        </w:tc>
        <w:tc>
          <w:tcPr>
            <w:tcW w:type="dxa" w:w="1326"/>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Notes</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Implement/upgrade encryption, access controls, logging and monitoring</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Adopt and test a breach response plan covering notification to the Data Protection Board and affected Data Principals</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Renegotiate processor contracts with DPDPA-compliant processing, security and erasure clauses</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Define and enforce retention schedules with automated deletion where possible</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Run a tabletop breach simulation and record lessons learned</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bl>
    <w:p>
      <w:pPr>
        <w:pStyle w:val="Heading1"/>
        <w:spacing w:after="60" w:before="360"/>
      </w:pPr>
      <w:r>
        <w:rPr>
          <w:rFonts w:ascii="Calibri" w:cs="Calibri" w:eastAsia="Calibri" w:hAnsi="Calibri"/>
          <w:b/>
          <w:bCs/>
          <w:color w:val="1A2E4A"/>
          <w:sz w:val="26"/>
          <w:szCs w:val="26"/>
        </w:rPr>
        <w:t xml:space="preserve">Phase 5 — Children’s Data &amp; SDF Obligations</w:t>
      </w:r>
      <w:r>
        <w:rPr>
          <w:rFonts w:ascii="Calibri" w:cs="Calibri" w:eastAsia="Calibri" w:hAnsi="Calibri"/>
          <w:b/>
          <w:bCs/>
          <w:color w:val="C0392B"/>
          <w:sz w:val="21"/>
          <w:szCs w:val="21"/>
        </w:rPr>
        <w:t xml:space="preserve">   Months 5–8</w:t>
      </w:r>
    </w:p>
    <w:p>
      <w:pPr>
        <w:spacing w:after="140"/>
      </w:pPr>
      <w:r>
        <w:rPr>
          <w:rFonts w:ascii="Calibri" w:cs="Calibri" w:eastAsia="Calibri" w:hAnsi="Calibri"/>
          <w:b/>
          <w:bCs/>
          <w:i/>
          <w:iCs/>
          <w:color w:val="555555"/>
          <w:sz w:val="20"/>
          <w:szCs w:val="20"/>
        </w:rPr>
        <w:t xml:space="preserve">Goal: </w:t>
      </w:r>
      <w:r>
        <w:rPr>
          <w:rFonts w:ascii="Calibri" w:cs="Calibri" w:eastAsia="Calibri" w:hAnsi="Calibri"/>
          <w:i/>
          <w:iCs/>
          <w:color w:val="555555"/>
          <w:sz w:val="20"/>
          <w:szCs w:val="20"/>
        </w:rPr>
        <w:t xml:space="preserve">Close the higher-bar obligations, if they apply to you.</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00"/>
        <w:gridCol w:w="1350"/>
        <w:gridCol w:w="1350"/>
        <w:gridCol w:w="1200"/>
        <w:gridCol w:w="1326"/>
      </w:tblGrid>
      <w:tr>
        <w:trPr>
          <w:tblHeader/>
        </w:trPr>
        <w:tc>
          <w:tcPr>
            <w:tcW w:type="dxa" w:w="38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Task</w:t>
            </w:r>
          </w:p>
        </w:tc>
        <w:tc>
          <w:tcPr>
            <w:tcW w:type="dxa" w:w="135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Owner</w:t>
            </w:r>
          </w:p>
        </w:tc>
        <w:tc>
          <w:tcPr>
            <w:tcW w:type="dxa" w:w="135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Target date</w:t>
            </w:r>
          </w:p>
        </w:tc>
        <w:tc>
          <w:tcPr>
            <w:tcW w:type="dxa" w:w="12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Status</w:t>
            </w:r>
          </w:p>
        </w:tc>
        <w:tc>
          <w:tcPr>
            <w:tcW w:type="dxa" w:w="1326"/>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Notes</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Implement age-assurance and verifiable parental consent flows (if processing children’s data)</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Disable tracking, behavioural monitoring and targeted advertising for child users</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If notified as an SDF: appoint an India-based DPO reporting to the board</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If SDF: appoint an independent data auditor</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If SDF: conduct a Data Protection Impact Assessment (DPIA)</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If SDF: complete algorithmic due-diligence review and check data localisation restrictions</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bl>
    <w:p>
      <w:pPr>
        <w:pStyle w:val="Heading1"/>
        <w:spacing w:after="60" w:before="360"/>
      </w:pPr>
      <w:r>
        <w:rPr>
          <w:rFonts w:ascii="Calibri" w:cs="Calibri" w:eastAsia="Calibri" w:hAnsi="Calibri"/>
          <w:b/>
          <w:bCs/>
          <w:color w:val="1A2E4A"/>
          <w:sz w:val="26"/>
          <w:szCs w:val="26"/>
        </w:rPr>
        <w:t xml:space="preserve">Phase 6 — Training &amp; Awareness</w:t>
      </w:r>
      <w:r>
        <w:rPr>
          <w:rFonts w:ascii="Calibri" w:cs="Calibri" w:eastAsia="Calibri" w:hAnsi="Calibri"/>
          <w:b/>
          <w:bCs/>
          <w:color w:val="C0392B"/>
          <w:sz w:val="21"/>
          <w:szCs w:val="21"/>
        </w:rPr>
        <w:t xml:space="preserve">   Ongoing from Month 3</w:t>
      </w:r>
    </w:p>
    <w:p>
      <w:pPr>
        <w:spacing w:after="140"/>
      </w:pPr>
      <w:r>
        <w:rPr>
          <w:rFonts w:ascii="Calibri" w:cs="Calibri" w:eastAsia="Calibri" w:hAnsi="Calibri"/>
          <w:b/>
          <w:bCs/>
          <w:i/>
          <w:iCs/>
          <w:color w:val="555555"/>
          <w:sz w:val="20"/>
          <w:szCs w:val="20"/>
        </w:rPr>
        <w:t xml:space="preserve">Goal: </w:t>
      </w:r>
      <w:r>
        <w:rPr>
          <w:rFonts w:ascii="Calibri" w:cs="Calibri" w:eastAsia="Calibri" w:hAnsi="Calibri"/>
          <w:i/>
          <w:iCs/>
          <w:color w:val="555555"/>
          <w:sz w:val="20"/>
          <w:szCs w:val="20"/>
        </w:rPr>
        <w:t xml:space="preserve">Make compliance operational, not just documented.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00"/>
        <w:gridCol w:w="1350"/>
        <w:gridCol w:w="1350"/>
        <w:gridCol w:w="1200"/>
        <w:gridCol w:w="1326"/>
      </w:tblGrid>
      <w:tr>
        <w:trPr>
          <w:tblHeader/>
        </w:trPr>
        <w:tc>
          <w:tcPr>
            <w:tcW w:type="dxa" w:w="38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Task</w:t>
            </w:r>
          </w:p>
        </w:tc>
        <w:tc>
          <w:tcPr>
            <w:tcW w:type="dxa" w:w="135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Owner</w:t>
            </w:r>
          </w:p>
        </w:tc>
        <w:tc>
          <w:tcPr>
            <w:tcW w:type="dxa" w:w="135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Target date</w:t>
            </w:r>
          </w:p>
        </w:tc>
        <w:tc>
          <w:tcPr>
            <w:tcW w:type="dxa" w:w="12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Status</w:t>
            </w:r>
          </w:p>
        </w:tc>
        <w:tc>
          <w:tcPr>
            <w:tcW w:type="dxa" w:w="1326"/>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Notes</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Deliver role-based DPDPA training (all staff, plus deep-dives for high-risk teams)</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Publish internal policies: consent handling, breach response, retention, rights requests</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Add DPDPA checks to product and marketing launch processes (privacy by design)</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Include DPDPA obligations in new-employee onboarding</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bl>
    <w:p>
      <w:pPr>
        <w:pStyle w:val="Heading1"/>
        <w:spacing w:after="60" w:before="360"/>
      </w:pPr>
      <w:r>
        <w:rPr>
          <w:rFonts w:ascii="Calibri" w:cs="Calibri" w:eastAsia="Calibri" w:hAnsi="Calibri"/>
          <w:b/>
          <w:bCs/>
          <w:color w:val="1A2E4A"/>
          <w:sz w:val="26"/>
          <w:szCs w:val="26"/>
        </w:rPr>
        <w:t xml:space="preserve">Phase 7 — Audit, Monitoring &amp; Continuous Compliance</w:t>
      </w:r>
      <w:r>
        <w:rPr>
          <w:rFonts w:ascii="Calibri" w:cs="Calibri" w:eastAsia="Calibri" w:hAnsi="Calibri"/>
          <w:b/>
          <w:bCs/>
          <w:color w:val="C0392B"/>
          <w:sz w:val="21"/>
          <w:szCs w:val="21"/>
        </w:rPr>
        <w:t xml:space="preserve">   Months 8–12 and ongoing</w:t>
      </w:r>
    </w:p>
    <w:p>
      <w:pPr>
        <w:spacing w:after="140"/>
      </w:pPr>
      <w:r>
        <w:rPr>
          <w:rFonts w:ascii="Calibri" w:cs="Calibri" w:eastAsia="Calibri" w:hAnsi="Calibri"/>
          <w:b/>
          <w:bCs/>
          <w:i/>
          <w:iCs/>
          <w:color w:val="555555"/>
          <w:sz w:val="20"/>
          <w:szCs w:val="20"/>
        </w:rPr>
        <w:t xml:space="preserve">Goal: </w:t>
      </w:r>
      <w:r>
        <w:rPr>
          <w:rFonts w:ascii="Calibri" w:cs="Calibri" w:eastAsia="Calibri" w:hAnsi="Calibri"/>
          <w:i/>
          <w:iCs/>
          <w:color w:val="555555"/>
          <w:sz w:val="20"/>
          <w:szCs w:val="20"/>
        </w:rPr>
        <w:t xml:space="preserve">Prove compliance and keep it current as rules and the business evolve.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00"/>
        <w:gridCol w:w="1350"/>
        <w:gridCol w:w="1350"/>
        <w:gridCol w:w="1200"/>
        <w:gridCol w:w="1326"/>
      </w:tblGrid>
      <w:tr>
        <w:trPr>
          <w:tblHeader/>
        </w:trPr>
        <w:tc>
          <w:tcPr>
            <w:tcW w:type="dxa" w:w="38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Task</w:t>
            </w:r>
          </w:p>
        </w:tc>
        <w:tc>
          <w:tcPr>
            <w:tcW w:type="dxa" w:w="135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Owner</w:t>
            </w:r>
          </w:p>
        </w:tc>
        <w:tc>
          <w:tcPr>
            <w:tcW w:type="dxa" w:w="135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Target date</w:t>
            </w:r>
          </w:p>
        </w:tc>
        <w:tc>
          <w:tcPr>
            <w:tcW w:type="dxa" w:w="12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Status</w:t>
            </w:r>
          </w:p>
        </w:tc>
        <w:tc>
          <w:tcPr>
            <w:tcW w:type="dxa" w:w="1326"/>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Notes</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Conduct an internal compliance audit against the full obligation checklist</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Track DPDP Rules 2025 phased implementation deadlines and government notifications</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Monitor Data Protection Board decisions and update practices accordingly</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Review data inventory, notices and vendor list at least annually</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38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Report compliance status to leadership on a fixed cadence</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35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12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Not started</w:t>
            </w:r>
          </w:p>
        </w:tc>
        <w:tc>
          <w:tcPr>
            <w:tcW w:type="dxa" w:w="13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bl>
    <w:p>
      <w:pPr>
        <w:pStyle w:val="Heading1"/>
        <w:spacing w:after="120" w:before="320"/>
      </w:pPr>
      <w:r>
        <w:rPr>
          <w:rFonts w:ascii="Calibri" w:cs="Calibri" w:eastAsia="Calibri" w:hAnsi="Calibri"/>
          <w:b/>
          <w:bCs/>
          <w:color w:val="1A2E4A"/>
          <w:sz w:val="27"/>
          <w:szCs w:val="27"/>
        </w:rPr>
        <w:t xml:space="preserve">Key milestones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826"/>
        <w:gridCol w:w="2100"/>
        <w:gridCol w:w="2100"/>
      </w:tblGrid>
      <w:tr>
        <w:trPr>
          <w:tblHeader/>
        </w:trPr>
        <w:tc>
          <w:tcPr>
            <w:tcW w:type="dxa" w:w="4826"/>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Milestone</w:t>
            </w:r>
          </w:p>
        </w:tc>
        <w:tc>
          <w:tcPr>
            <w:tcW w:type="dxa" w:w="21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Target date</w:t>
            </w:r>
          </w:p>
        </w:tc>
        <w:tc>
          <w:tcPr>
            <w:tcW w:type="dxa" w:w="2100"/>
            <w:tcBorders>
              <w:top w:val="single" w:color="BFC9D4" w:sz="4"/>
              <w:left w:val="single" w:color="BFC9D4" w:sz="4"/>
              <w:bottom w:val="single" w:color="BFC9D4" w:sz="4"/>
              <w:right w:val="single" w:color="BFC9D4" w:sz="4"/>
            </w:tcBorders>
            <w:shd w:fill="1A2E4A" w:val="clear"/>
            <w:tcMar>
              <w:top w:type="dxa" w:w="60"/>
              <w:left w:type="dxa" w:w="100"/>
              <w:bottom w:type="dxa" w:w="60"/>
              <w:right w:type="dxa" w:w="100"/>
            </w:tcMar>
          </w:tcPr>
          <w:p>
            <w:r>
              <w:rPr>
                <w:rFonts w:ascii="Calibri" w:cs="Calibri" w:eastAsia="Calibri" w:hAnsi="Calibri"/>
                <w:b/>
                <w:bCs/>
                <w:color w:val="FFFFFF"/>
                <w:sz w:val="19"/>
                <w:szCs w:val="19"/>
              </w:rPr>
              <w:t xml:space="preserve">Achieved on</w:t>
            </w:r>
          </w:p>
        </w:tc>
      </w:tr>
      <w:tr>
        <w:tc>
          <w:tcPr>
            <w:tcW w:type="dxa" w:w="48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Governance structure and programme owner in place</w:t>
            </w:r>
          </w:p>
        </w:tc>
        <w:tc>
          <w:tcPr>
            <w:tcW w:type="dxa" w:w="21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21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48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Data inventory and flow maps complete</w:t>
            </w:r>
          </w:p>
        </w:tc>
        <w:tc>
          <w:tcPr>
            <w:tcW w:type="dxa" w:w="21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21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48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Gap assessment and risk register signed off</w:t>
            </w:r>
          </w:p>
        </w:tc>
        <w:tc>
          <w:tcPr>
            <w:tcW w:type="dxa" w:w="21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21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48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New notices and consent flows live</w:t>
            </w:r>
          </w:p>
        </w:tc>
        <w:tc>
          <w:tcPr>
            <w:tcW w:type="dxa" w:w="21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21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48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Breach response plan tested</w:t>
            </w:r>
          </w:p>
        </w:tc>
        <w:tc>
          <w:tcPr>
            <w:tcW w:type="dxa" w:w="21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21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48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Rights-request and grievance mechanisms operational</w:t>
            </w:r>
          </w:p>
        </w:tc>
        <w:tc>
          <w:tcPr>
            <w:tcW w:type="dxa" w:w="21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21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r>
        <w:tc>
          <w:tcPr>
            <w:tcW w:type="dxa" w:w="4826"/>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All-staff training round 1 complete</w:t>
            </w:r>
          </w:p>
        </w:tc>
        <w:tc>
          <w:tcPr>
            <w:tcW w:type="dxa" w:w="21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c>
          <w:tcPr>
            <w:tcW w:type="dxa" w:w="2100"/>
            <w:tcBorders>
              <w:top w:val="single" w:color="BFC9D4" w:sz="4"/>
              <w:left w:val="single" w:color="BFC9D4" w:sz="4"/>
              <w:bottom w:val="single" w:color="BFC9D4" w:sz="4"/>
              <w:right w:val="single" w:color="BFC9D4" w:sz="4"/>
            </w:tcBorders>
            <w:tcMar>
              <w:top w:type="dxa" w:w="50"/>
              <w:left w:type="dxa" w:w="100"/>
              <w:bottom w:type="dxa" w:w="50"/>
              <w:right w:type="dxa" w:w="100"/>
            </w:tcMar>
          </w:tcPr>
          <w:p>
            <w:r>
              <w:rPr>
                <w:rFonts w:ascii="Calibri" w:cs="Calibri" w:eastAsia="Calibri" w:hAnsi="Calibri"/>
                <w:sz w:val="19"/>
                <w:szCs w:val="19"/>
              </w:rPr>
              <w:t xml:space="preserve"> </w:t>
            </w:r>
          </w:p>
        </w:tc>
      </w:tr>
      <w:tr>
        <w:tc>
          <w:tcPr>
            <w:tcW w:type="dxa" w:w="4826"/>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Internal compliance audit complete</w:t>
            </w:r>
          </w:p>
        </w:tc>
        <w:tc>
          <w:tcPr>
            <w:tcW w:type="dxa" w:w="21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c>
          <w:tcPr>
            <w:tcW w:type="dxa" w:w="2100"/>
            <w:tcBorders>
              <w:top w:val="single" w:color="BFC9D4" w:sz="4"/>
              <w:left w:val="single" w:color="BFC9D4" w:sz="4"/>
              <w:bottom w:val="single" w:color="BFC9D4" w:sz="4"/>
              <w:right w:val="single" w:color="BFC9D4" w:sz="4"/>
            </w:tcBorders>
            <w:shd w:fill="EEF2F7" w:val="clear"/>
            <w:tcMar>
              <w:top w:type="dxa" w:w="50"/>
              <w:left w:type="dxa" w:w="100"/>
              <w:bottom w:type="dxa" w:w="50"/>
              <w:right w:type="dxa" w:w="100"/>
            </w:tcMar>
          </w:tcPr>
          <w:p>
            <w:r>
              <w:rPr>
                <w:rFonts w:ascii="Calibri" w:cs="Calibri" w:eastAsia="Calibri" w:hAnsi="Calibri"/>
                <w:sz w:val="19"/>
                <w:szCs w:val="19"/>
              </w:rPr>
              <w:t xml:space="preserve"> </w:t>
            </w:r>
          </w:p>
        </w:tc>
      </w:tr>
    </w:tbl>
    <w:p>
      <w:pPr>
        <w:pBdr>
          <w:top w:val="single" w:color="999999" w:sz="6"/>
        </w:pBdr>
        <w:spacing w:after="60" w:before="300"/>
      </w:pPr>
      <w:r>
        <w:rPr>
          <w:sz w:val="2"/>
          <w:szCs w:val="2"/>
        </w:rPr>
        <w:t xml:space="preserve"> </w:t>
      </w:r>
    </w:p>
    <w:p>
      <w:pPr>
        <w:spacing w:after="120"/>
      </w:pPr>
      <w:r>
        <w:rPr>
          <w:rFonts w:ascii="Calibri" w:cs="Calibri" w:eastAsia="Calibri" w:hAnsi="Calibri"/>
          <w:i/>
          <w:iCs/>
          <w:color w:val="333333"/>
          <w:sz w:val="21"/>
          <w:szCs w:val="21"/>
        </w:rPr>
        <w:t xml:space="preserve">Disclaimer: This roadmap template is for general informational purposes only and does not constitute legal advice. Timelines and obligations vary by organisation, sector and notification status under the DPDPA and the DPDP Rules, 2025. Consult qualified legal counsel to tailor this plan to your circumstances.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2026-07-08T12:28:50.085Z</dcterms:created>
  <dcterms:modified xsi:type="dcterms:W3CDTF">2026-07-08T12:28:50.085Z</dcterms:modified>
</cp:coreProperties>
</file>

<file path=docProps/custom.xml><?xml version="1.0" encoding="utf-8"?>
<Properties xmlns="http://schemas.openxmlformats.org/officeDocument/2006/custom-properties" xmlns:vt="http://schemas.openxmlformats.org/officeDocument/2006/docPropsVTypes"/>
</file>